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Grade: 3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Subject: English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Lesson name: Different, yet Similar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Worksheet 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I. Fill in the blanks.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Gurukul Vidyalaya was an _____________ school.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The teacher _________ made an important announcement.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The students also learnt their _________ language along with other subjects.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Jennifer said that they celebrated ______________ in America.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 The Vidyalaya children were _____________ and also loved to ______.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II. Match the following.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      Column A                                    Column B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1. Japanese food                            a. Different festivals and celebrations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2. Vidyalaya students                      b. Idli and chutney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3. Different countries                       c. Eid ul Fitr and Bakrid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4. South Indian food                        d. no uniforms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5. festival of lights                            e. Sushi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6. Scotland                                       f. Diwali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7. Saudi Arabia                                g. salad with mashed potatoes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8. American food                              h. Hogmanay festival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III. Answer in short.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1. The students who are talking to their teacher belong to which class?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2. Where are the students going?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3. What was so special about Gurukul Vidyalaya?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4. Where did the students of Gurukul Vidyalaya stay?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5. Give the name of the teacher at the Vidyalaya.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6. Give two differences between the students of Chrysalis Middle School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and the Gurukul Vidyalaya.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7. What was the one thing common between them?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8. What was the main observation made by the students of Chrysalis Junior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and Middle school in the end?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